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drawing>
          <wp:inline xmlns:a="http://schemas.openxmlformats.org/drawingml/2006/main" xmlns:pic="http://schemas.openxmlformats.org/drawingml/2006/picture">
            <wp:extent cx="4434840" cy="6933030"/>
            <wp:docPr id="1" name="Picture 1"/>
            <wp:cNvGraphicFramePr>
              <a:graphicFrameLocks noChangeAspect="1"/>
            </wp:cNvGraphicFramePr>
            <a:graphic>
              <a:graphicData uri="http://schemas.openxmlformats.org/drawingml/2006/picture">
                <pic:pic>
                  <pic:nvPicPr>
                    <pic:cNvPr id="0" name="exec-4685384f-f02f-4de0-a8af-76b690584e45.png"/>
                    <pic:cNvPicPr/>
                  </pic:nvPicPr>
                  <pic:blipFill>
                    <a:blip r:embed="rId11"/>
                    <a:stretch>
                      <a:fillRect/>
                    </a:stretch>
                  </pic:blipFill>
                  <pic:spPr>
                    <a:xfrm>
                      <a:off x="0" y="0"/>
                      <a:ext cx="4434840" cy="6933030"/>
                    </a:xfrm>
                    <a:prstGeom prst="rect"/>
                  </pic:spPr>
                </pic:pic>
              </a:graphicData>
            </a:graphic>
          </wp:inline>
        </w:drawing>
      </w:r>
    </w:p>
    <w:p>
      <w:pPr>
        <w:spacing w:before="80" w:after="40"/>
        <w:jc w:val="center"/>
      </w:pPr>
      <w:r>
        <w:rPr>
          <w:rFonts w:ascii="Aptos Display" w:hAnsi="Aptos Display"/>
          <w:b/>
          <w:i w:val="0"/>
          <w:color w:val="071D36"/>
          <w:sz w:val="52"/>
        </w:rPr>
        <w:t>KAILASH DOOR DARSHAN</w:t>
      </w:r>
    </w:p>
    <w:p>
      <w:pPr>
        <w:spacing w:after="100"/>
        <w:jc w:val="center"/>
      </w:pPr>
      <w:r>
        <w:rPr>
          <w:rFonts w:ascii="Aptos" w:hAnsi="Aptos"/>
          <w:b/>
          <w:i w:val="0"/>
          <w:color w:val="C99743"/>
          <w:sz w:val="26"/>
        </w:rPr>
        <w:t>Aerial Darshan of Mount Kailash</w:t>
      </w:r>
    </w:p>
    <w:p>
      <w:pPr>
        <w:spacing w:after="160"/>
        <w:jc w:val="center"/>
      </w:pPr>
      <w:r>
        <w:rPr>
          <w:rFonts w:ascii="Aptos" w:hAnsi="Aptos"/>
          <w:b/>
          <w:i w:val="0"/>
          <w:color w:val="0C2A4A"/>
          <w:sz w:val="22"/>
        </w:rPr>
        <w:t>10–12 December 2026  |  3 Days • 2 Nights</w:t>
      </w:r>
    </w:p>
    <w:p>
      <w:r>
        <w:br w:type="page"/>
      </w:r>
    </w:p>
    <w:p>
      <w:pPr>
        <w:pStyle w:val="Title"/>
      </w:pPr>
      <w:r>
        <w:rPr>
          <w:rFonts w:ascii="Aptos Display" w:hAnsi="Aptos Display"/>
          <w:b/>
          <w:i w:val="0"/>
          <w:color w:val="071D36"/>
          <w:sz w:val="58"/>
        </w:rPr>
        <w:t>A sacred journey above the clouds</w:t>
      </w:r>
    </w:p>
    <w:p>
      <w:pPr>
        <w:pStyle w:val="Subtitle"/>
      </w:pPr>
      <w:r>
        <w:rPr>
          <w:rFonts w:ascii="Aptos" w:hAnsi="Aptos"/>
          <w:b w:val="0"/>
          <w:i w:val="0"/>
          <w:color w:val="5F6B78"/>
          <w:sz w:val="26"/>
        </w:rPr>
        <w:t>A thoughtfully planned three-day pilgrimage from Lucknow, centred on an aerial darshan of Mount Kailash.</w:t>
      </w:r>
    </w:p>
    <w:tbl>
      <w:tblPr>
        <w:tblW w:type="dxa" w:w="9360"/>
        <w:jc w:val="center"/>
        <w:tblLayout w:type="fixed"/>
        <w:tblLook w:firstColumn="1" w:firstRow="1" w:lastColumn="0" w:lastRow="0" w:noHBand="0" w:noVBand="1" w:val="04A0"/>
        <w:tblBorders>
          <w:top w:val="nil"/>
          <w:left w:val="nil"/>
          <w:bottom w:val="nil"/>
          <w:right w:val="nil"/>
          <w:insideH w:val="nil"/>
          <w:insideV w:val="nil"/>
        </w:tblBorders>
      </w:tblPr>
      <w:tblGrid>
        <w:gridCol w:w="3120"/>
        <w:gridCol w:w="3120"/>
        <w:gridCol w:w="3120"/>
      </w:tblGrid>
      <w:tr>
        <w:tc>
          <w:tcPr>
            <w:tcW w:type="dxa" w:w="3120"/>
            <w:tcMar>
              <w:top w:w="110" w:type="dxa"/>
              <w:start w:w="140" w:type="dxa"/>
              <w:bottom w:w="110" w:type="dxa"/>
              <w:end w:w="140" w:type="dxa"/>
            </w:tcMar>
            <w:vAlign w:val="center"/>
            <w:shd w:fill="071D36"/>
          </w:tcPr>
          <w:p>
            <w:pPr>
              <w:jc w:val="center"/>
            </w:pPr>
            <w:r>
              <w:rPr>
                <w:rFonts w:ascii="Aptos" w:hAnsi="Aptos"/>
                <w:b/>
                <w:i w:val="0"/>
                <w:color w:val="FFFFFF"/>
                <w:sz w:val="28"/>
              </w:rPr>
              <w:t>10–12 DEC</w:t>
            </w:r>
          </w:p>
          <w:p>
            <w:pPr>
              <w:spacing w:after="0"/>
              <w:jc w:val="center"/>
            </w:pPr>
            <w:r>
              <w:rPr>
                <w:rFonts w:ascii="Aptos" w:hAnsi="Aptos"/>
                <w:b w:val="0"/>
                <w:i w:val="0"/>
                <w:color w:val="F5EAD5"/>
                <w:sz w:val="17"/>
              </w:rPr>
              <w:t>December departure</w:t>
            </w:r>
          </w:p>
        </w:tc>
        <w:tc>
          <w:tcPr>
            <w:tcW w:type="dxa" w:w="3120"/>
            <w:tcMar>
              <w:top w:w="110" w:type="dxa"/>
              <w:start w:w="140" w:type="dxa"/>
              <w:bottom w:w="110" w:type="dxa"/>
              <w:end w:w="140" w:type="dxa"/>
            </w:tcMar>
            <w:vAlign w:val="center"/>
            <w:shd w:fill="0C2A4A"/>
          </w:tcPr>
          <w:p>
            <w:pPr>
              <w:jc w:val="center"/>
            </w:pPr>
            <w:r>
              <w:rPr>
                <w:rFonts w:ascii="Aptos" w:hAnsi="Aptos"/>
                <w:b/>
                <w:i w:val="0"/>
                <w:color w:val="FFFFFF"/>
                <w:sz w:val="28"/>
              </w:rPr>
              <w:t>3 DAYS</w:t>
            </w:r>
          </w:p>
          <w:p>
            <w:pPr>
              <w:spacing w:after="0"/>
              <w:jc w:val="center"/>
            </w:pPr>
            <w:r>
              <w:rPr>
                <w:rFonts w:ascii="Aptos" w:hAnsi="Aptos"/>
                <w:b w:val="0"/>
                <w:i w:val="0"/>
                <w:color w:val="F5EAD5"/>
                <w:sz w:val="17"/>
              </w:rPr>
              <w:t>2 nights</w:t>
            </w:r>
          </w:p>
        </w:tc>
        <w:tc>
          <w:tcPr>
            <w:tcW w:type="dxa" w:w="3120"/>
            <w:tcMar>
              <w:top w:w="110" w:type="dxa"/>
              <w:start w:w="140" w:type="dxa"/>
              <w:bottom w:w="110" w:type="dxa"/>
              <w:end w:w="140" w:type="dxa"/>
            </w:tcMar>
            <w:vAlign w:val="center"/>
            <w:shd w:fill="071D36"/>
          </w:tcPr>
          <w:p>
            <w:pPr>
              <w:jc w:val="center"/>
            </w:pPr>
            <w:r>
              <w:rPr>
                <w:rFonts w:ascii="Aptos" w:hAnsi="Aptos"/>
                <w:b/>
                <w:i w:val="0"/>
                <w:color w:val="FFFFFF"/>
                <w:sz w:val="28"/>
              </w:rPr>
              <w:t>NEPALGUNJ</w:t>
            </w:r>
          </w:p>
          <w:p>
            <w:pPr>
              <w:spacing w:after="0"/>
              <w:jc w:val="center"/>
            </w:pPr>
            <w:r>
              <w:rPr>
                <w:rFonts w:ascii="Aptos" w:hAnsi="Aptos"/>
                <w:b w:val="0"/>
                <w:i w:val="0"/>
                <w:color w:val="F5EAD5"/>
                <w:sz w:val="17"/>
              </w:rPr>
              <w:t>Charter boarding</w:t>
            </w:r>
          </w:p>
        </w:tc>
      </w:tr>
    </w:tbl>
    <w:p>
      <w:pPr>
        <w:pStyle w:val="Heading1"/>
      </w:pPr>
      <w:r>
        <w:t>Experience overview</w:t>
      </w:r>
    </w:p>
    <w:p>
      <w:r>
        <w:rPr>
          <w:rFonts w:ascii="Aptos" w:hAnsi="Aptos"/>
          <w:b w:val="0"/>
          <w:i w:val="0"/>
          <w:color w:val="172334"/>
        </w:rPr>
        <w:t>This programme is designed for devotees who wish to witness Mount Kailash without undertaking the demanding overland yatra or parikrama. The journey includes coordinated transfers between Lucknow and Nepalgunj, a two-night stay, full meal support, a dedicated pandit for the flight puja, and a havan at Bageshwori Temple.</w:t>
      </w:r>
    </w:p>
    <w:p>
      <w:pPr>
        <w:pStyle w:val="Heading1"/>
      </w:pPr>
      <w:r>
        <w:t>Package price</w:t>
      </w:r>
    </w:p>
    <w:tbl>
      <w:tblPr>
        <w:tblStyle w:val="TableGrid"/>
        <w:tblW w:type="dxa" w:w="9360"/>
        <w:jc w:val="center"/>
        <w:tblLayout w:type="fixed"/>
        <w:tblLook w:firstColumn="1" w:firstRow="1" w:lastColumn="0" w:lastRow="0" w:noHBand="0" w:noVBand="1" w:val="04A0"/>
      </w:tblPr>
      <w:tblGrid>
        <w:gridCol w:w="3600"/>
        <w:gridCol w:w="2880"/>
        <w:gridCol w:w="2880"/>
      </w:tblGrid>
      <w:tr>
        <w:tc>
          <w:tcPr>
            <w:tcW w:type="dxa" w:w="3600"/>
            <w:tcMar>
              <w:top w:w="110" w:type="dxa"/>
              <w:start w:w="140" w:type="dxa"/>
              <w:bottom w:w="110" w:type="dxa"/>
              <w:end w:w="140" w:type="dxa"/>
            </w:tcMar>
            <w:vAlign w:val="center"/>
            <w:shd w:fill="071D36"/>
          </w:tcPr>
          <w:p>
            <w:r>
              <w:rPr>
                <w:rFonts w:ascii="Aptos" w:hAnsi="Aptos"/>
                <w:b/>
                <w:i w:val="0"/>
                <w:color w:val="FFFFFF"/>
                <w:sz w:val="19"/>
              </w:rPr>
              <w:t>Seat category</w:t>
            </w:r>
          </w:p>
        </w:tc>
        <w:tc>
          <w:tcPr>
            <w:tcW w:type="dxa" w:w="2880"/>
            <w:tcMar>
              <w:top w:w="110" w:type="dxa"/>
              <w:start w:w="140" w:type="dxa"/>
              <w:bottom w:w="110" w:type="dxa"/>
              <w:end w:w="140" w:type="dxa"/>
            </w:tcMar>
            <w:vAlign w:val="center"/>
            <w:shd w:fill="071D36"/>
          </w:tcPr>
          <w:p>
            <w:r>
              <w:rPr>
                <w:rFonts w:ascii="Aptos" w:hAnsi="Aptos"/>
                <w:b/>
                <w:i w:val="0"/>
                <w:color w:val="FFFFFF"/>
                <w:sz w:val="19"/>
              </w:rPr>
              <w:t>Price per person</w:t>
            </w:r>
          </w:p>
        </w:tc>
        <w:tc>
          <w:tcPr>
            <w:tcW w:type="dxa" w:w="2880"/>
            <w:tcMar>
              <w:top w:w="110" w:type="dxa"/>
              <w:start w:w="140" w:type="dxa"/>
              <w:bottom w:w="110" w:type="dxa"/>
              <w:end w:w="140" w:type="dxa"/>
            </w:tcMar>
            <w:vAlign w:val="center"/>
            <w:shd w:fill="071D36"/>
          </w:tcPr>
          <w:p>
            <w:r>
              <w:rPr>
                <w:rFonts w:ascii="Aptos" w:hAnsi="Aptos"/>
                <w:b/>
                <w:i w:val="0"/>
                <w:color w:val="FFFFFF"/>
                <w:sz w:val="19"/>
              </w:rPr>
              <w:t>Flight refund if no flight operates</w:t>
            </w:r>
          </w:p>
        </w:tc>
      </w:tr>
      <w:tr>
        <w:tc>
          <w:tcPr>
            <w:tcW w:type="dxa" w:w="3600"/>
            <w:tcMar>
              <w:top w:w="110" w:type="dxa"/>
              <w:start w:w="140" w:type="dxa"/>
              <w:bottom w:w="110" w:type="dxa"/>
              <w:end w:w="140" w:type="dxa"/>
            </w:tcMar>
            <w:vAlign w:val="center"/>
            <w:shd w:fill="F5EAD5"/>
          </w:tcPr>
          <w:p>
            <w:r>
              <w:rPr>
                <w:rFonts w:ascii="Aptos" w:hAnsi="Aptos"/>
                <w:b w:val="0"/>
                <w:i w:val="0"/>
                <w:color w:val="071D36"/>
                <w:sz w:val="21"/>
              </w:rPr>
              <w:t>Window seat</w:t>
            </w:r>
          </w:p>
        </w:tc>
        <w:tc>
          <w:tcPr>
            <w:tcW w:type="dxa" w:w="2880"/>
            <w:tcMar>
              <w:top w:w="110" w:type="dxa"/>
              <w:start w:w="140" w:type="dxa"/>
              <w:bottom w:w="110" w:type="dxa"/>
              <w:end w:w="140" w:type="dxa"/>
            </w:tcMar>
            <w:vAlign w:val="center"/>
            <w:shd w:fill="F5EAD5"/>
          </w:tcPr>
          <w:p>
            <w:r>
              <w:rPr>
                <w:rFonts w:ascii="Aptos" w:hAnsi="Aptos"/>
                <w:b/>
                <w:i w:val="0"/>
                <w:color w:val="071D36"/>
                <w:sz w:val="21"/>
              </w:rPr>
              <w:t>₹61,000</w:t>
            </w:r>
          </w:p>
        </w:tc>
        <w:tc>
          <w:tcPr>
            <w:tcW w:type="dxa" w:w="2880"/>
            <w:tcMar>
              <w:top w:w="110" w:type="dxa"/>
              <w:start w:w="140" w:type="dxa"/>
              <w:bottom w:w="110" w:type="dxa"/>
              <w:end w:w="140" w:type="dxa"/>
            </w:tcMar>
            <w:vAlign w:val="center"/>
            <w:shd w:fill="F5EAD5"/>
          </w:tcPr>
          <w:p>
            <w:r>
              <w:rPr>
                <w:rFonts w:ascii="Aptos" w:hAnsi="Aptos"/>
                <w:b/>
                <w:i w:val="0"/>
                <w:color w:val="071D36"/>
                <w:sz w:val="21"/>
              </w:rPr>
              <w:t>₹35,000</w:t>
            </w:r>
          </w:p>
        </w:tc>
      </w:tr>
      <w:tr>
        <w:tc>
          <w:tcPr>
            <w:tcW w:type="dxa" w:w="3600"/>
            <w:tcMar>
              <w:top w:w="110" w:type="dxa"/>
              <w:start w:w="140" w:type="dxa"/>
              <w:bottom w:w="110" w:type="dxa"/>
              <w:end w:w="140" w:type="dxa"/>
            </w:tcMar>
            <w:vAlign w:val="center"/>
            <w:shd w:fill="F3F6F8"/>
          </w:tcPr>
          <w:p>
            <w:r>
              <w:rPr>
                <w:rFonts w:ascii="Aptos" w:hAnsi="Aptos"/>
                <w:b w:val="0"/>
                <w:i w:val="0"/>
                <w:color w:val="071D36"/>
                <w:sz w:val="21"/>
              </w:rPr>
              <w:t>Non-window seat</w:t>
            </w:r>
          </w:p>
        </w:tc>
        <w:tc>
          <w:tcPr>
            <w:tcW w:type="dxa" w:w="2880"/>
            <w:tcMar>
              <w:top w:w="110" w:type="dxa"/>
              <w:start w:w="140" w:type="dxa"/>
              <w:bottom w:w="110" w:type="dxa"/>
              <w:end w:w="140" w:type="dxa"/>
            </w:tcMar>
            <w:vAlign w:val="center"/>
            <w:shd w:fill="F3F6F8"/>
          </w:tcPr>
          <w:p>
            <w:r>
              <w:rPr>
                <w:rFonts w:ascii="Aptos" w:hAnsi="Aptos"/>
                <w:b/>
                <w:i w:val="0"/>
                <w:color w:val="071D36"/>
                <w:sz w:val="21"/>
              </w:rPr>
              <w:t>₹51,000</w:t>
            </w:r>
          </w:p>
        </w:tc>
        <w:tc>
          <w:tcPr>
            <w:tcW w:type="dxa" w:w="2880"/>
            <w:tcMar>
              <w:top w:w="110" w:type="dxa"/>
              <w:start w:w="140" w:type="dxa"/>
              <w:bottom w:w="110" w:type="dxa"/>
              <w:end w:w="140" w:type="dxa"/>
            </w:tcMar>
            <w:vAlign w:val="center"/>
            <w:shd w:fill="F3F6F8"/>
          </w:tcPr>
          <w:p>
            <w:r>
              <w:rPr>
                <w:rFonts w:ascii="Aptos" w:hAnsi="Aptos"/>
                <w:b/>
                <w:i w:val="0"/>
                <w:color w:val="071D36"/>
                <w:sz w:val="21"/>
              </w:rPr>
              <w:t>₹25,000</w:t>
            </w:r>
          </w:p>
        </w:tc>
      </w:tr>
    </w:tbl>
    <w:p>
      <w:pPr>
        <w:spacing w:before="120" w:after="60"/>
      </w:pPr>
      <w:r>
        <w:rPr>
          <w:rFonts w:ascii="Aptos" w:hAnsi="Aptos"/>
          <w:b/>
          <w:i w:val="0"/>
          <w:color w:val="C99743"/>
          <w:sz w:val="21"/>
        </w:rPr>
        <w:t>5% GST extra on the package price.</w:t>
      </w:r>
    </w:p>
    <w:p>
      <w:pPr>
        <w:spacing w:before="140"/>
      </w:pPr>
      <w:r>
        <w:rPr>
          <w:rFonts w:ascii="Aptos" w:hAnsi="Aptos"/>
          <w:b/>
          <w:i w:val="0"/>
          <w:color w:val="8C2F2F"/>
        </w:rPr>
        <w:t xml:space="preserve">Important: </w:t>
      </w:r>
      <w:r>
        <w:rPr>
          <w:rFonts w:ascii="Aptos" w:hAnsi="Aptos"/>
          <w:b w:val="0"/>
          <w:i w:val="0"/>
          <w:color w:val="172334"/>
        </w:rPr>
        <w:t>The flight refund applies only when the Kailash aerial flight does not operate. The balance amount covers services already used or committed, including accommodation, meals, transfers, temple arrangements and programme operations.</w:t>
      </w:r>
    </w:p>
    <w:p>
      <w:pPr>
        <w:pStyle w:val="Heading1"/>
      </w:pPr>
      <w:r>
        <w:t>Essential travel timings</w:t>
      </w:r>
    </w:p>
    <w:p>
      <w:pPr>
        <w:pStyle w:val="ListBullet"/>
      </w:pPr>
      <w:r>
        <w:rPr>
          <w:rFonts w:ascii="Aptos" w:hAnsi="Aptos"/>
          <w:b w:val="0"/>
          <w:i w:val="0"/>
          <w:color w:val="172334"/>
          <w:sz w:val="20"/>
        </w:rPr>
        <w:t>Arrive in Lucknow by 12:00 noon on 10 December 2026.</w:t>
      </w:r>
    </w:p>
    <w:p>
      <w:pPr>
        <w:pStyle w:val="ListBullet"/>
      </w:pPr>
      <w:r>
        <w:rPr>
          <w:rFonts w:ascii="Aptos" w:hAnsi="Aptos"/>
          <w:b w:val="0"/>
          <w:i w:val="0"/>
          <w:color w:val="172334"/>
          <w:sz w:val="20"/>
        </w:rPr>
        <w:t>Book your return journey from Lucknow after 8:00 pm on 12 December 2026.</w:t>
      </w:r>
    </w:p>
    <w:p>
      <w:pPr>
        <w:pStyle w:val="ListBullet"/>
      </w:pPr>
      <w:r>
        <w:rPr>
          <w:rFonts w:ascii="Aptos" w:hAnsi="Aptos"/>
          <w:b w:val="0"/>
          <w:i w:val="0"/>
          <w:color w:val="172334"/>
          <w:sz w:val="20"/>
        </w:rPr>
        <w:t>Guests arriving late or departing early must arrange any resulting private transfer at their own cost.</w:t>
      </w:r>
    </w:p>
    <w:p>
      <w:r>
        <w:br w:type="page"/>
      </w:r>
    </w:p>
    <w:p>
      <w:pPr>
        <w:pStyle w:val="Title"/>
      </w:pPr>
      <w:r>
        <w:rPr>
          <w:rFonts w:ascii="Aptos Display" w:hAnsi="Aptos Display"/>
          <w:b/>
          <w:i w:val="0"/>
          <w:color w:val="071D36"/>
          <w:sz w:val="58"/>
        </w:rPr>
        <w:t>Your three-day journey</w:t>
      </w:r>
    </w:p>
    <w:p>
      <w:pPr>
        <w:pStyle w:val="Subtitle"/>
      </w:pPr>
      <w:r>
        <w:rPr>
          <w:rFonts w:ascii="Aptos" w:hAnsi="Aptos"/>
          <w:b w:val="0"/>
          <w:i w:val="0"/>
          <w:color w:val="5F6B78"/>
          <w:sz w:val="26"/>
        </w:rPr>
        <w:t>Lucknow • Nepalgunj • Kailash Aerial Darshan • Lucknow</w:t>
      </w:r>
    </w:p>
    <w:tbl>
      <w:tblPr>
        <w:tblW w:type="dxa" w:w="9360"/>
        <w:jc w:val="center"/>
        <w:tblLayout w:type="fixed"/>
        <w:tblLook w:firstColumn="1" w:firstRow="1" w:lastColumn="0" w:lastRow="0" w:noHBand="0" w:noVBand="1" w:val="04A0"/>
        <w:tblBorders>
          <w:top w:val="nil"/>
          <w:left w:val="nil"/>
          <w:bottom w:val="nil"/>
          <w:right w:val="nil"/>
          <w:insideH w:val="nil"/>
          <w:insideV w:val="nil"/>
        </w:tblBorders>
      </w:tblPr>
      <w:tblGrid>
        <w:gridCol w:w="1980"/>
        <w:gridCol w:w="7380"/>
      </w:tblGrid>
      <w:tr>
        <w:tc>
          <w:tcPr>
            <w:tcW w:type="dxa" w:w="1980"/>
            <w:tcMar>
              <w:top w:w="110" w:type="dxa"/>
              <w:start w:w="140" w:type="dxa"/>
              <w:bottom w:w="110" w:type="dxa"/>
              <w:end w:w="140" w:type="dxa"/>
            </w:tcMar>
            <w:vAlign w:val="center"/>
            <w:shd w:fill="C99743"/>
          </w:tcPr>
          <w:p>
            <w:r>
              <w:rPr>
                <w:rFonts w:ascii="Aptos" w:hAnsi="Aptos"/>
                <w:b/>
                <w:i w:val="0"/>
                <w:color w:val="071D36"/>
                <w:sz w:val="18"/>
              </w:rPr>
              <w:t>DAY 1  |  10 DECEMBER</w:t>
            </w:r>
          </w:p>
        </w:tc>
        <w:tc>
          <w:tcPr>
            <w:tcW w:type="dxa" w:w="7380"/>
            <w:tcMar>
              <w:top w:w="110" w:type="dxa"/>
              <w:start w:w="140" w:type="dxa"/>
              <w:bottom w:w="110" w:type="dxa"/>
              <w:end w:w="140" w:type="dxa"/>
            </w:tcMar>
            <w:vAlign w:val="center"/>
            <w:shd w:fill="071D36"/>
          </w:tcPr>
          <w:p>
            <w:r>
              <w:rPr>
                <w:rFonts w:ascii="Aptos" w:hAnsi="Aptos"/>
                <w:b/>
                <w:i w:val="0"/>
                <w:color w:val="FFFFFF"/>
                <w:sz w:val="22"/>
              </w:rPr>
              <w:t>ARRIVE LUCKNOW • TRANSFER TO NEPALGUNJ</w:t>
            </w:r>
          </w:p>
        </w:tc>
      </w:tr>
    </w:tbl>
    <w:p>
      <w:pPr>
        <w:pStyle w:val="ListBullet"/>
      </w:pPr>
      <w:r>
        <w:rPr>
          <w:rFonts w:ascii="Aptos" w:hAnsi="Aptos"/>
          <w:b w:val="0"/>
          <w:i w:val="0"/>
          <w:color w:val="172334"/>
          <w:sz w:val="20"/>
        </w:rPr>
        <w:t>Arrive at Lucknow Airport or railway station by 12:00 noon.</w:t>
      </w:r>
    </w:p>
    <w:p>
      <w:pPr>
        <w:pStyle w:val="ListBullet"/>
      </w:pPr>
      <w:r>
        <w:rPr>
          <w:rFonts w:ascii="Aptos" w:hAnsi="Aptos"/>
          <w:b w:val="0"/>
          <w:i w:val="0"/>
          <w:color w:val="172334"/>
          <w:sz w:val="20"/>
        </w:rPr>
        <w:t>Meet the tour team and proceed to Nepalgunj by shared transfer.</w:t>
      </w:r>
    </w:p>
    <w:p>
      <w:pPr>
        <w:pStyle w:val="ListBullet"/>
      </w:pPr>
      <w:r>
        <w:rPr>
          <w:rFonts w:ascii="Aptos" w:hAnsi="Aptos"/>
          <w:b w:val="0"/>
          <w:i w:val="0"/>
          <w:color w:val="172334"/>
          <w:sz w:val="20"/>
        </w:rPr>
        <w:t>Check in at Lords or a similar 4-star hotel.</w:t>
      </w:r>
    </w:p>
    <w:p>
      <w:pPr>
        <w:pStyle w:val="ListBullet"/>
      </w:pPr>
      <w:r>
        <w:rPr>
          <w:rFonts w:ascii="Aptos" w:hAnsi="Aptos"/>
          <w:b w:val="0"/>
          <w:i w:val="0"/>
          <w:color w:val="172334"/>
          <w:sz w:val="20"/>
        </w:rPr>
        <w:t>Participate in the havan at Bageshwori Temple, subject to local timings.</w:t>
      </w:r>
    </w:p>
    <w:p>
      <w:pPr>
        <w:pStyle w:val="ListBullet"/>
      </w:pPr>
      <w:r>
        <w:rPr>
          <w:rFonts w:ascii="Aptos" w:hAnsi="Aptos"/>
          <w:b w:val="0"/>
          <w:i w:val="0"/>
          <w:color w:val="172334"/>
          <w:sz w:val="20"/>
        </w:rPr>
        <w:t>Dinner and briefing for the next morning’s aerial darshan.</w:t>
      </w:r>
    </w:p>
    <w:p>
      <w:pPr>
        <w:spacing w:after="20"/>
      </w:pPr>
    </w:p>
    <w:tbl>
      <w:tblPr>
        <w:tblW w:type="dxa" w:w="9360"/>
        <w:jc w:val="center"/>
        <w:tblLayout w:type="fixed"/>
        <w:tblLook w:firstColumn="1" w:firstRow="1" w:lastColumn="0" w:lastRow="0" w:noHBand="0" w:noVBand="1" w:val="04A0"/>
        <w:tblBorders>
          <w:top w:val="nil"/>
          <w:left w:val="nil"/>
          <w:bottom w:val="nil"/>
          <w:right w:val="nil"/>
          <w:insideH w:val="nil"/>
          <w:insideV w:val="nil"/>
        </w:tblBorders>
      </w:tblPr>
      <w:tblGrid>
        <w:gridCol w:w="1980"/>
        <w:gridCol w:w="7380"/>
      </w:tblGrid>
      <w:tr>
        <w:tc>
          <w:tcPr>
            <w:tcW w:type="dxa" w:w="1980"/>
            <w:tcMar>
              <w:top w:w="110" w:type="dxa"/>
              <w:start w:w="140" w:type="dxa"/>
              <w:bottom w:w="110" w:type="dxa"/>
              <w:end w:w="140" w:type="dxa"/>
            </w:tcMar>
            <w:vAlign w:val="center"/>
            <w:shd w:fill="C99743"/>
          </w:tcPr>
          <w:p>
            <w:r>
              <w:rPr>
                <w:rFonts w:ascii="Aptos" w:hAnsi="Aptos"/>
                <w:b/>
                <w:i w:val="0"/>
                <w:color w:val="071D36"/>
                <w:sz w:val="18"/>
              </w:rPr>
              <w:t>DAY 2  |  11 DECEMBER</w:t>
            </w:r>
          </w:p>
        </w:tc>
        <w:tc>
          <w:tcPr>
            <w:tcW w:type="dxa" w:w="7380"/>
            <w:tcMar>
              <w:top w:w="110" w:type="dxa"/>
              <w:start w:w="140" w:type="dxa"/>
              <w:bottom w:w="110" w:type="dxa"/>
              <w:end w:w="140" w:type="dxa"/>
            </w:tcMar>
            <w:vAlign w:val="center"/>
            <w:shd w:fill="071D36"/>
          </w:tcPr>
          <w:p>
            <w:r>
              <w:rPr>
                <w:rFonts w:ascii="Aptos" w:hAnsi="Aptos"/>
                <w:b/>
                <w:i w:val="0"/>
                <w:color w:val="FFFFFF"/>
                <w:sz w:val="22"/>
              </w:rPr>
              <w:t>KAILASH AERIAL DARSHAN</w:t>
            </w:r>
          </w:p>
        </w:tc>
      </w:tr>
    </w:tbl>
    <w:p>
      <w:pPr>
        <w:pStyle w:val="ListBullet"/>
      </w:pPr>
      <w:r>
        <w:rPr>
          <w:rFonts w:ascii="Aptos" w:hAnsi="Aptos"/>
          <w:b w:val="0"/>
          <w:i w:val="0"/>
          <w:color w:val="172334"/>
          <w:sz w:val="20"/>
        </w:rPr>
        <w:t>Early breakfast and transfer for charter reporting.</w:t>
      </w:r>
    </w:p>
    <w:p>
      <w:pPr>
        <w:pStyle w:val="ListBullet"/>
      </w:pPr>
      <w:r>
        <w:rPr>
          <w:rFonts w:ascii="Aptos" w:hAnsi="Aptos"/>
          <w:b w:val="0"/>
          <w:i w:val="0"/>
          <w:color w:val="172334"/>
          <w:sz w:val="20"/>
        </w:rPr>
        <w:t>Pre-flight puja conducted by the accompanying pandit.</w:t>
      </w:r>
    </w:p>
    <w:p>
      <w:pPr>
        <w:pStyle w:val="ListBullet"/>
      </w:pPr>
      <w:r>
        <w:rPr>
          <w:rFonts w:ascii="Aptos" w:hAnsi="Aptos"/>
          <w:b w:val="0"/>
          <w:i w:val="0"/>
          <w:color w:val="172334"/>
          <w:sz w:val="20"/>
        </w:rPr>
        <w:t>Board the charter flight for aerial darshan of Mount Kailash, subject to weather, visibility and regulatory approvals.</w:t>
      </w:r>
    </w:p>
    <w:p>
      <w:pPr>
        <w:pStyle w:val="ListBullet"/>
      </w:pPr>
      <w:r>
        <w:rPr>
          <w:rFonts w:ascii="Aptos" w:hAnsi="Aptos"/>
          <w:b w:val="0"/>
          <w:i w:val="0"/>
          <w:color w:val="172334"/>
          <w:sz w:val="20"/>
        </w:rPr>
        <w:t>Return to Nepalgunj after the flight.</w:t>
      </w:r>
    </w:p>
    <w:p>
      <w:pPr>
        <w:pStyle w:val="ListBullet"/>
      </w:pPr>
      <w:r>
        <w:rPr>
          <w:rFonts w:ascii="Aptos" w:hAnsi="Aptos"/>
          <w:b w:val="0"/>
          <w:i w:val="0"/>
          <w:color w:val="172334"/>
          <w:sz w:val="20"/>
        </w:rPr>
        <w:t>Lunch, dinner and overnight stay at the hotel.</w:t>
      </w:r>
    </w:p>
    <w:p>
      <w:pPr>
        <w:spacing w:after="20"/>
      </w:pPr>
    </w:p>
    <w:tbl>
      <w:tblPr>
        <w:tblW w:type="dxa" w:w="9360"/>
        <w:jc w:val="center"/>
        <w:tblLayout w:type="fixed"/>
        <w:tblLook w:firstColumn="1" w:firstRow="1" w:lastColumn="0" w:lastRow="0" w:noHBand="0" w:noVBand="1" w:val="04A0"/>
        <w:tblBorders>
          <w:top w:val="nil"/>
          <w:left w:val="nil"/>
          <w:bottom w:val="nil"/>
          <w:right w:val="nil"/>
          <w:insideH w:val="nil"/>
          <w:insideV w:val="nil"/>
        </w:tblBorders>
      </w:tblPr>
      <w:tblGrid>
        <w:gridCol w:w="1980"/>
        <w:gridCol w:w="7380"/>
      </w:tblGrid>
      <w:tr>
        <w:tc>
          <w:tcPr>
            <w:tcW w:type="dxa" w:w="1980"/>
            <w:tcMar>
              <w:top w:w="110" w:type="dxa"/>
              <w:start w:w="140" w:type="dxa"/>
              <w:bottom w:w="110" w:type="dxa"/>
              <w:end w:w="140" w:type="dxa"/>
            </w:tcMar>
            <w:vAlign w:val="center"/>
            <w:shd w:fill="C99743"/>
          </w:tcPr>
          <w:p>
            <w:r>
              <w:rPr>
                <w:rFonts w:ascii="Aptos" w:hAnsi="Aptos"/>
                <w:b/>
                <w:i w:val="0"/>
                <w:color w:val="071D36"/>
                <w:sz w:val="18"/>
              </w:rPr>
              <w:t>DAY 3  |  12 DECEMBER</w:t>
            </w:r>
          </w:p>
        </w:tc>
        <w:tc>
          <w:tcPr>
            <w:tcW w:type="dxa" w:w="7380"/>
            <w:tcMar>
              <w:top w:w="110" w:type="dxa"/>
              <w:start w:w="140" w:type="dxa"/>
              <w:bottom w:w="110" w:type="dxa"/>
              <w:end w:w="140" w:type="dxa"/>
            </w:tcMar>
            <w:vAlign w:val="center"/>
            <w:shd w:fill="071D36"/>
          </w:tcPr>
          <w:p>
            <w:r>
              <w:rPr>
                <w:rFonts w:ascii="Aptos" w:hAnsi="Aptos"/>
                <w:b/>
                <w:i w:val="0"/>
                <w:color w:val="FFFFFF"/>
                <w:sz w:val="22"/>
              </w:rPr>
              <w:t>RETURN TO LUCKNOW</w:t>
            </w:r>
          </w:p>
        </w:tc>
      </w:tr>
    </w:tbl>
    <w:p>
      <w:pPr>
        <w:pStyle w:val="ListBullet"/>
      </w:pPr>
      <w:r>
        <w:rPr>
          <w:rFonts w:ascii="Aptos" w:hAnsi="Aptos"/>
          <w:b w:val="0"/>
          <w:i w:val="0"/>
          <w:color w:val="172334"/>
          <w:sz w:val="20"/>
        </w:rPr>
        <w:t>Breakfast at the hotel.</w:t>
      </w:r>
    </w:p>
    <w:p>
      <w:pPr>
        <w:pStyle w:val="ListBullet"/>
      </w:pPr>
      <w:r>
        <w:rPr>
          <w:rFonts w:ascii="Aptos" w:hAnsi="Aptos"/>
          <w:b w:val="0"/>
          <w:i w:val="0"/>
          <w:color w:val="172334"/>
          <w:sz w:val="20"/>
        </w:rPr>
        <w:t>Check out and travel from Nepalgunj to Lucknow by shared transfer.</w:t>
      </w:r>
    </w:p>
    <w:p>
      <w:pPr>
        <w:pStyle w:val="ListBullet"/>
      </w:pPr>
      <w:r>
        <w:rPr>
          <w:rFonts w:ascii="Aptos" w:hAnsi="Aptos"/>
          <w:b w:val="0"/>
          <w:i w:val="0"/>
          <w:color w:val="172334"/>
          <w:sz w:val="20"/>
        </w:rPr>
        <w:t>Lunch included during the programme.</w:t>
      </w:r>
    </w:p>
    <w:p>
      <w:pPr>
        <w:pStyle w:val="ListBullet"/>
      </w:pPr>
      <w:r>
        <w:rPr>
          <w:rFonts w:ascii="Aptos" w:hAnsi="Aptos"/>
          <w:b w:val="0"/>
          <w:i w:val="0"/>
          <w:color w:val="172334"/>
          <w:sz w:val="20"/>
        </w:rPr>
        <w:t>Plan your onward departure from Lucknow after 8:00 pm.</w:t>
      </w:r>
    </w:p>
    <w:p>
      <w:pPr>
        <w:spacing w:after="20"/>
      </w:pPr>
    </w:p>
    <w:p>
      <w:pPr>
        <w:pStyle w:val="Heading1"/>
      </w:pPr>
      <w:r>
        <w:t>Meal plan</w:t>
      </w:r>
    </w:p>
    <w:tbl>
      <w:tblPr>
        <w:tblStyle w:val="TableGrid"/>
        <w:tblW w:type="dxa" w:w="9360"/>
        <w:jc w:val="center"/>
        <w:tblLayout w:type="fixed"/>
        <w:tblLook w:firstColumn="1" w:firstRow="1" w:lastColumn="0" w:lastRow="0" w:noHBand="0" w:noVBand="1" w:val="04A0"/>
      </w:tblPr>
      <w:tblGrid>
        <w:gridCol w:w="2340"/>
        <w:gridCol w:w="2340"/>
        <w:gridCol w:w="2340"/>
        <w:gridCol w:w="2340"/>
      </w:tblGrid>
      <w:tr>
        <w:tc>
          <w:tcPr>
            <w:tcW w:type="dxa" w:w="2340"/>
            <w:tcMar>
              <w:top w:w="110" w:type="dxa"/>
              <w:start w:w="140" w:type="dxa"/>
              <w:bottom w:w="110" w:type="dxa"/>
              <w:end w:w="140" w:type="dxa"/>
            </w:tcMar>
            <w:vAlign w:val="center"/>
            <w:shd w:fill="071D36"/>
          </w:tcPr>
          <w:p>
            <w:pPr>
              <w:jc w:val="center"/>
            </w:pPr>
            <w:r>
              <w:rPr>
                <w:rFonts w:ascii="Aptos" w:hAnsi="Aptos"/>
                <w:b/>
                <w:i w:val="0"/>
                <w:color w:val="FFFFFF"/>
                <w:sz w:val="19"/>
              </w:rPr>
              <w:t>Breakfast</w:t>
            </w:r>
          </w:p>
        </w:tc>
        <w:tc>
          <w:tcPr>
            <w:tcW w:type="dxa" w:w="2340"/>
            <w:tcMar>
              <w:top w:w="110" w:type="dxa"/>
              <w:start w:w="140" w:type="dxa"/>
              <w:bottom w:w="110" w:type="dxa"/>
              <w:end w:w="140" w:type="dxa"/>
            </w:tcMar>
            <w:vAlign w:val="center"/>
            <w:shd w:fill="071D36"/>
          </w:tcPr>
          <w:p>
            <w:pPr>
              <w:jc w:val="center"/>
            </w:pPr>
            <w:r>
              <w:rPr>
                <w:rFonts w:ascii="Aptos" w:hAnsi="Aptos"/>
                <w:b/>
                <w:i w:val="0"/>
                <w:color w:val="FFFFFF"/>
                <w:sz w:val="19"/>
              </w:rPr>
              <w:t>Lunch</w:t>
            </w:r>
          </w:p>
        </w:tc>
        <w:tc>
          <w:tcPr>
            <w:tcW w:type="dxa" w:w="2340"/>
            <w:tcMar>
              <w:top w:w="110" w:type="dxa"/>
              <w:start w:w="140" w:type="dxa"/>
              <w:bottom w:w="110" w:type="dxa"/>
              <w:end w:w="140" w:type="dxa"/>
            </w:tcMar>
            <w:vAlign w:val="center"/>
            <w:shd w:fill="071D36"/>
          </w:tcPr>
          <w:p>
            <w:pPr>
              <w:jc w:val="center"/>
            </w:pPr>
            <w:r>
              <w:rPr>
                <w:rFonts w:ascii="Aptos" w:hAnsi="Aptos"/>
                <w:b/>
                <w:i w:val="0"/>
                <w:color w:val="FFFFFF"/>
                <w:sz w:val="19"/>
              </w:rPr>
              <w:t>Dinner</w:t>
            </w:r>
          </w:p>
        </w:tc>
        <w:tc>
          <w:tcPr>
            <w:tcW w:type="dxa" w:w="2340"/>
            <w:tcMar>
              <w:top w:w="110" w:type="dxa"/>
              <w:start w:w="140" w:type="dxa"/>
              <w:bottom w:w="110" w:type="dxa"/>
              <w:end w:w="140" w:type="dxa"/>
            </w:tcMar>
            <w:vAlign w:val="center"/>
            <w:shd w:fill="071D36"/>
          </w:tcPr>
          <w:p>
            <w:pPr>
              <w:jc w:val="center"/>
            </w:pPr>
            <w:r>
              <w:rPr>
                <w:rFonts w:ascii="Aptos" w:hAnsi="Aptos"/>
                <w:b/>
                <w:i w:val="0"/>
                <w:color w:val="FFFFFF"/>
                <w:sz w:val="19"/>
              </w:rPr>
              <w:t>Total meals</w:t>
            </w:r>
          </w:p>
        </w:tc>
      </w:tr>
      <w:tr>
        <w:tc>
          <w:tcPr>
            <w:tcW w:type="dxa" w:w="2340"/>
            <w:tcMar>
              <w:top w:w="110" w:type="dxa"/>
              <w:start w:w="140" w:type="dxa"/>
              <w:bottom w:w="110" w:type="dxa"/>
              <w:end w:w="140" w:type="dxa"/>
            </w:tcMar>
            <w:vAlign w:val="center"/>
            <w:shd w:fill="F5EAD5"/>
          </w:tcPr>
          <w:p>
            <w:pPr>
              <w:jc w:val="center"/>
            </w:pPr>
            <w:r>
              <w:rPr>
                <w:rFonts w:ascii="Aptos" w:hAnsi="Aptos"/>
                <w:b/>
                <w:i w:val="0"/>
                <w:color w:val="071D36"/>
                <w:sz w:val="24"/>
              </w:rPr>
              <w:t>2</w:t>
            </w:r>
          </w:p>
        </w:tc>
        <w:tc>
          <w:tcPr>
            <w:tcW w:type="dxa" w:w="2340"/>
            <w:tcMar>
              <w:top w:w="110" w:type="dxa"/>
              <w:start w:w="140" w:type="dxa"/>
              <w:bottom w:w="110" w:type="dxa"/>
              <w:end w:w="140" w:type="dxa"/>
            </w:tcMar>
            <w:vAlign w:val="center"/>
            <w:shd w:fill="F5EAD5"/>
          </w:tcPr>
          <w:p>
            <w:pPr>
              <w:jc w:val="center"/>
            </w:pPr>
            <w:r>
              <w:rPr>
                <w:rFonts w:ascii="Aptos" w:hAnsi="Aptos"/>
                <w:b/>
                <w:i w:val="0"/>
                <w:color w:val="071D36"/>
                <w:sz w:val="24"/>
              </w:rPr>
              <w:t>3</w:t>
            </w:r>
          </w:p>
        </w:tc>
        <w:tc>
          <w:tcPr>
            <w:tcW w:type="dxa" w:w="2340"/>
            <w:tcMar>
              <w:top w:w="110" w:type="dxa"/>
              <w:start w:w="140" w:type="dxa"/>
              <w:bottom w:w="110" w:type="dxa"/>
              <w:end w:w="140" w:type="dxa"/>
            </w:tcMar>
            <w:vAlign w:val="center"/>
            <w:shd w:fill="F5EAD5"/>
          </w:tcPr>
          <w:p>
            <w:pPr>
              <w:jc w:val="center"/>
            </w:pPr>
            <w:r>
              <w:rPr>
                <w:rFonts w:ascii="Aptos" w:hAnsi="Aptos"/>
                <w:b/>
                <w:i w:val="0"/>
                <w:color w:val="071D36"/>
                <w:sz w:val="24"/>
              </w:rPr>
              <w:t>2</w:t>
            </w:r>
          </w:p>
        </w:tc>
        <w:tc>
          <w:tcPr>
            <w:tcW w:type="dxa" w:w="2340"/>
            <w:tcMar>
              <w:top w:w="110" w:type="dxa"/>
              <w:start w:w="140" w:type="dxa"/>
              <w:bottom w:w="110" w:type="dxa"/>
              <w:end w:w="140" w:type="dxa"/>
            </w:tcMar>
            <w:vAlign w:val="center"/>
            <w:shd w:fill="F5EAD5"/>
          </w:tcPr>
          <w:p>
            <w:pPr>
              <w:jc w:val="center"/>
            </w:pPr>
            <w:r>
              <w:rPr>
                <w:rFonts w:ascii="Aptos" w:hAnsi="Aptos"/>
                <w:b/>
                <w:i w:val="0"/>
                <w:color w:val="071D36"/>
                <w:sz w:val="24"/>
              </w:rPr>
              <w:t>7 meals</w:t>
            </w:r>
          </w:p>
        </w:tc>
      </w:tr>
    </w:tbl>
    <w:p>
      <w:r>
        <w:br w:type="page"/>
      </w:r>
    </w:p>
    <w:p>
      <w:pPr>
        <w:pStyle w:val="Title"/>
      </w:pPr>
      <w:r>
        <w:rPr>
          <w:rFonts w:ascii="Aptos Display" w:hAnsi="Aptos Display"/>
          <w:b/>
          <w:i w:val="0"/>
          <w:color w:val="071D36"/>
          <w:sz w:val="58"/>
        </w:rPr>
        <w:t>Before you travel</w:t>
      </w:r>
    </w:p>
    <w:p>
      <w:pPr>
        <w:pStyle w:val="Subtitle"/>
      </w:pPr>
      <w:r>
        <w:rPr>
          <w:rFonts w:ascii="Aptos" w:hAnsi="Aptos"/>
          <w:b w:val="0"/>
          <w:i w:val="0"/>
          <w:color w:val="5F6B78"/>
          <w:sz w:val="26"/>
        </w:rPr>
        <w:t>Practical guidance for the Lucknow–Nepalgunj journey and border entry.</w:t>
      </w:r>
    </w:p>
    <w:p>
      <w:pPr>
        <w:pStyle w:val="Heading1"/>
      </w:pPr>
      <w:r>
        <w:t>Road journey advisory</w:t>
      </w:r>
    </w:p>
    <w:p>
      <w:pPr>
        <w:pStyle w:val="ListBullet"/>
      </w:pPr>
      <w:r>
        <w:rPr>
          <w:rFonts w:ascii="Aptos" w:hAnsi="Aptos"/>
          <w:b w:val="0"/>
          <w:i w:val="0"/>
          <w:color w:val="172334"/>
          <w:sz w:val="20"/>
        </w:rPr>
        <w:t>Lucknow to Nepalgunj is a long road journey. Carry ready-to-eat food, dry snacks, drinking water and any personal medicines required during the drive.</w:t>
      </w:r>
    </w:p>
    <w:p>
      <w:pPr>
        <w:pStyle w:val="ListBullet"/>
      </w:pPr>
      <w:r>
        <w:rPr>
          <w:rFonts w:ascii="Aptos" w:hAnsi="Aptos"/>
          <w:b w:val="0"/>
          <w:i w:val="0"/>
          <w:color w:val="172334"/>
          <w:sz w:val="20"/>
        </w:rPr>
        <w:t>Only one scheduled lunch stop is planned en route. Additional food stops cannot be assured and will depend on road and traffic conditions.</w:t>
      </w:r>
    </w:p>
    <w:p>
      <w:pPr>
        <w:pStyle w:val="Heading1"/>
      </w:pPr>
      <w:r>
        <w:t>Weather and travel-booking advisory</w:t>
      </w:r>
    </w:p>
    <w:p>
      <w:pPr>
        <w:pStyle w:val="ListBullet"/>
      </w:pPr>
      <w:r>
        <w:rPr>
          <w:rFonts w:ascii="Aptos" w:hAnsi="Aptos"/>
          <w:b w:val="0"/>
          <w:i w:val="0"/>
          <w:color w:val="172334"/>
          <w:sz w:val="20"/>
        </w:rPr>
        <w:t>All flights booked to Lucknow and from Lucknow must be on a cancellable or changeable fare. Avoid non-refundable fares.</w:t>
      </w:r>
    </w:p>
    <w:p>
      <w:pPr>
        <w:pStyle w:val="ListBullet"/>
      </w:pPr>
      <w:r>
        <w:rPr>
          <w:rFonts w:ascii="Aptos" w:hAnsi="Aptos"/>
          <w:b w:val="0"/>
          <w:i w:val="0"/>
          <w:color w:val="172334"/>
          <w:sz w:val="20"/>
        </w:rPr>
        <w:t>The Kailash aerial flight is weather dependent. The programme dates may be rescheduled if operating conditions are unsuitable.</w:t>
      </w:r>
    </w:p>
    <w:p>
      <w:pPr>
        <w:pStyle w:val="ListBullet"/>
      </w:pPr>
      <w:r>
        <w:rPr>
          <w:rFonts w:ascii="Aptos" w:hAnsi="Aptos"/>
          <w:b w:val="0"/>
          <w:i w:val="0"/>
          <w:color w:val="172334"/>
          <w:sz w:val="20"/>
        </w:rPr>
        <w:t>If the programme must be extended, an additional charge of ₹5,000 per person, per additional day will apply.</w:t>
      </w:r>
    </w:p>
    <w:p>
      <w:pPr>
        <w:pStyle w:val="Heading2"/>
      </w:pPr>
      <w:r>
        <w:t>Optional Ayodhya Darshan</w:t>
      </w:r>
    </w:p>
    <w:p>
      <w:r>
        <w:rPr>
          <w:rFonts w:ascii="Aptos" w:hAnsi="Aptos"/>
          <w:b/>
          <w:i w:val="0"/>
          <w:color w:val="C99743"/>
          <w:sz w:val="23"/>
        </w:rPr>
        <w:t>₹10,000 per person</w:t>
      </w:r>
      <w:r>
        <w:rPr>
          <w:rFonts w:ascii="Aptos" w:hAnsi="Aptos"/>
          <w:b w:val="0"/>
          <w:i w:val="0"/>
          <w:color w:val="172334"/>
          <w:sz w:val="20"/>
        </w:rPr>
        <w:t xml:space="preserve">  |  Minimum 4 paying guests required. Subject to itinerary alignment, availability and operational feasibility.</w:t>
      </w:r>
    </w:p>
    <w:p>
      <w:pPr>
        <w:pStyle w:val="Heading1"/>
      </w:pPr>
      <w:r>
        <w:t>Nepal entry documents for Indian citizens</w:t>
      </w:r>
    </w:p>
    <w:p>
      <w:pPr>
        <w:pStyle w:val="ListBullet"/>
      </w:pPr>
      <w:r>
        <w:rPr>
          <w:rFonts w:ascii="Aptos" w:hAnsi="Aptos"/>
          <w:b w:val="0"/>
          <w:i w:val="0"/>
          <w:color w:val="172334"/>
          <w:sz w:val="20"/>
        </w:rPr>
        <w:t>Carry either a valid original Indian passport or an original Voter ID card with photograph issued by the Election Commission of India.</w:t>
      </w:r>
    </w:p>
    <w:p>
      <w:pPr>
        <w:pStyle w:val="ListBullet"/>
      </w:pPr>
      <w:r>
        <w:rPr>
          <w:rFonts w:ascii="Aptos" w:hAnsi="Aptos"/>
          <w:b w:val="0"/>
          <w:i w:val="0"/>
          <w:color w:val="172334"/>
          <w:sz w:val="20"/>
        </w:rPr>
        <w:t>Downloaded or online-print Voter ID, Aadhaar, PAN card and driving licence are not accepted as travel documents for this journey.</w:t>
      </w:r>
    </w:p>
    <w:p>
      <w:pPr>
        <w:pStyle w:val="ListBullet"/>
      </w:pPr>
      <w:r>
        <w:rPr>
          <w:rFonts w:ascii="Aptos" w:hAnsi="Aptos"/>
          <w:b w:val="0"/>
          <w:i w:val="0"/>
          <w:color w:val="172334"/>
          <w:sz w:val="20"/>
        </w:rPr>
        <w:t>Keep the original document readily accessible during the road transfer and border formalities.</w:t>
      </w:r>
    </w:p>
    <w:p>
      <w:r>
        <w:br w:type="page"/>
      </w:r>
    </w:p>
    <w:p>
      <w:pPr>
        <w:pStyle w:val="Title"/>
      </w:pPr>
      <w:r>
        <w:rPr>
          <w:rFonts w:ascii="Aptos Display" w:hAnsi="Aptos Display"/>
          <w:b/>
          <w:i w:val="0"/>
          <w:color w:val="071D36"/>
          <w:sz w:val="58"/>
        </w:rPr>
        <w:t>What your package includes</w:t>
      </w:r>
    </w:p>
    <w:p>
      <w:pPr>
        <w:pStyle w:val="Subtitle"/>
      </w:pPr>
      <w:r>
        <w:rPr>
          <w:rFonts w:ascii="Aptos" w:hAnsi="Aptos"/>
          <w:b w:val="0"/>
          <w:i w:val="0"/>
          <w:color w:val="5F6B78"/>
          <w:sz w:val="26"/>
        </w:rPr>
        <w:t>Essential arrangements for a comfortable and spiritually meaningful journey.</w:t>
      </w:r>
    </w:p>
    <w:p>
      <w:pPr>
        <w:pStyle w:val="Heading1"/>
      </w:pPr>
      <w:r>
        <w:t>Included</w:t>
      </w:r>
    </w:p>
    <w:p>
      <w:pPr>
        <w:pStyle w:val="ListBullet"/>
      </w:pPr>
      <w:r>
        <w:rPr>
          <w:rFonts w:ascii="Aptos" w:hAnsi="Aptos"/>
          <w:b w:val="0"/>
          <w:i w:val="0"/>
          <w:color w:val="172334"/>
          <w:sz w:val="20"/>
        </w:rPr>
        <w:t>Two nights’ accommodation at Lords or a similar 4-star hotel in Nepalgunj.</w:t>
      </w:r>
    </w:p>
    <w:p>
      <w:pPr>
        <w:pStyle w:val="ListBullet"/>
      </w:pPr>
      <w:r>
        <w:rPr>
          <w:rFonts w:ascii="Aptos" w:hAnsi="Aptos"/>
          <w:b w:val="0"/>
          <w:i w:val="0"/>
          <w:color w:val="172334"/>
          <w:sz w:val="20"/>
        </w:rPr>
        <w:t>Two breakfasts, three lunches and two dinners.</w:t>
      </w:r>
    </w:p>
    <w:p>
      <w:pPr>
        <w:pStyle w:val="ListBullet"/>
      </w:pPr>
      <w:r>
        <w:rPr>
          <w:rFonts w:ascii="Aptos" w:hAnsi="Aptos"/>
          <w:b w:val="0"/>
          <w:i w:val="0"/>
          <w:color w:val="172334"/>
          <w:sz w:val="20"/>
        </w:rPr>
        <w:t>Lucknow–Nepalgunj–Lucknow transfers on SIC basis.</w:t>
      </w:r>
    </w:p>
    <w:p>
      <w:pPr>
        <w:pStyle w:val="ListBullet"/>
      </w:pPr>
      <w:r>
        <w:rPr>
          <w:rFonts w:ascii="Aptos" w:hAnsi="Aptos"/>
          <w:b w:val="0"/>
          <w:i w:val="0"/>
          <w:color w:val="172334"/>
          <w:sz w:val="20"/>
        </w:rPr>
        <w:t>Force Urbania or Toyota Crysta/SUV, selected according to final group size.</w:t>
      </w:r>
    </w:p>
    <w:p>
      <w:pPr>
        <w:pStyle w:val="ListBullet"/>
      </w:pPr>
      <w:r>
        <w:rPr>
          <w:rFonts w:ascii="Aptos" w:hAnsi="Aptos"/>
          <w:b w:val="0"/>
          <w:i w:val="0"/>
          <w:color w:val="172334"/>
          <w:sz w:val="20"/>
        </w:rPr>
        <w:t>Kailash aerial darshan charter flight in the booked seat category, subject to operation.</w:t>
      </w:r>
    </w:p>
    <w:p>
      <w:pPr>
        <w:pStyle w:val="ListBullet"/>
      </w:pPr>
      <w:r>
        <w:rPr>
          <w:rFonts w:ascii="Aptos" w:hAnsi="Aptos"/>
          <w:b w:val="0"/>
          <w:i w:val="0"/>
          <w:color w:val="172334"/>
          <w:sz w:val="20"/>
        </w:rPr>
        <w:t>Pandit for the pre-flight puja.</w:t>
      </w:r>
    </w:p>
    <w:p>
      <w:pPr>
        <w:pStyle w:val="ListBullet"/>
      </w:pPr>
      <w:r>
        <w:rPr>
          <w:rFonts w:ascii="Aptos" w:hAnsi="Aptos"/>
          <w:b w:val="0"/>
          <w:i w:val="0"/>
          <w:color w:val="172334"/>
          <w:sz w:val="20"/>
        </w:rPr>
        <w:t>Havan at Bageshwori Temple.</w:t>
      </w:r>
    </w:p>
    <w:p>
      <w:pPr>
        <w:pStyle w:val="ListBullet"/>
      </w:pPr>
      <w:r>
        <w:rPr>
          <w:rFonts w:ascii="Aptos" w:hAnsi="Aptos"/>
          <w:b w:val="0"/>
          <w:i w:val="0"/>
          <w:color w:val="172334"/>
          <w:sz w:val="20"/>
        </w:rPr>
        <w:t>Special pilgrimage gift hamper.</w:t>
      </w:r>
    </w:p>
    <w:p>
      <w:pPr>
        <w:pStyle w:val="ListBullet"/>
      </w:pPr>
      <w:r>
        <w:rPr>
          <w:rFonts w:ascii="Aptos" w:hAnsi="Aptos"/>
          <w:b w:val="0"/>
          <w:i w:val="0"/>
          <w:color w:val="172334"/>
          <w:sz w:val="20"/>
        </w:rPr>
        <w:t>Basic tour coordination and on-ground assistance.</w:t>
      </w:r>
    </w:p>
    <w:p>
      <w:pPr>
        <w:pStyle w:val="Heading1"/>
      </w:pPr>
      <w:r>
        <w:t>Not included</w:t>
      </w:r>
    </w:p>
    <w:p>
      <w:pPr>
        <w:pStyle w:val="ListBullet"/>
      </w:pPr>
      <w:r>
        <w:rPr>
          <w:rFonts w:ascii="Aptos" w:hAnsi="Aptos"/>
          <w:b w:val="0"/>
          <w:i w:val="0"/>
          <w:color w:val="172334"/>
          <w:sz w:val="20"/>
        </w:rPr>
        <w:t>Travel to Lucknow and onward travel from Lucknow.</w:t>
      </w:r>
    </w:p>
    <w:p>
      <w:pPr>
        <w:pStyle w:val="ListBullet"/>
      </w:pPr>
      <w:r>
        <w:rPr>
          <w:rFonts w:ascii="Aptos" w:hAnsi="Aptos"/>
          <w:b w:val="0"/>
          <w:i w:val="0"/>
          <w:color w:val="172334"/>
          <w:sz w:val="20"/>
        </w:rPr>
        <w:t>5% GST on the package price.</w:t>
      </w:r>
    </w:p>
    <w:p>
      <w:pPr>
        <w:pStyle w:val="ListBullet"/>
      </w:pPr>
      <w:r>
        <w:rPr>
          <w:rFonts w:ascii="Aptos" w:hAnsi="Aptos"/>
          <w:b w:val="0"/>
          <w:i w:val="0"/>
          <w:color w:val="172334"/>
          <w:sz w:val="20"/>
        </w:rPr>
        <w:t>Cancellation, rescheduling or fare-difference charges for flights or trains booked to and from Lucknow.</w:t>
      </w:r>
    </w:p>
    <w:p>
      <w:pPr>
        <w:pStyle w:val="ListBullet"/>
      </w:pPr>
      <w:r>
        <w:rPr>
          <w:rFonts w:ascii="Aptos" w:hAnsi="Aptos"/>
          <w:b w:val="0"/>
          <w:i w:val="0"/>
          <w:color w:val="172334"/>
          <w:sz w:val="20"/>
        </w:rPr>
        <w:t>Personal expenses, tips, porterage, room service and services not listed under inclusions.</w:t>
      </w:r>
    </w:p>
    <w:p>
      <w:pPr>
        <w:pStyle w:val="ListBullet"/>
      </w:pPr>
      <w:r>
        <w:rPr>
          <w:rFonts w:ascii="Aptos" w:hAnsi="Aptos"/>
          <w:b w:val="0"/>
          <w:i w:val="0"/>
          <w:color w:val="172334"/>
          <w:sz w:val="20"/>
        </w:rPr>
        <w:t>Private transfers caused by late arrival, early departure or deviation from the group schedule.</w:t>
      </w:r>
    </w:p>
    <w:p>
      <w:pPr>
        <w:pStyle w:val="ListBullet"/>
      </w:pPr>
      <w:r>
        <w:rPr>
          <w:rFonts w:ascii="Aptos" w:hAnsi="Aptos"/>
          <w:b w:val="0"/>
          <w:i w:val="0"/>
          <w:color w:val="172334"/>
          <w:sz w:val="20"/>
        </w:rPr>
        <w:t>Additional accommodation, meals or transport arising from weather disruption, flight delay, force majeure or changes beyond the organiser’s control.</w:t>
      </w:r>
    </w:p>
    <w:p>
      <w:pPr>
        <w:pStyle w:val="ListBullet"/>
      </w:pPr>
      <w:r>
        <w:rPr>
          <w:rFonts w:ascii="Aptos" w:hAnsi="Aptos"/>
          <w:b w:val="0"/>
          <w:i w:val="0"/>
          <w:color w:val="172334"/>
          <w:sz w:val="20"/>
        </w:rPr>
        <w:t>Travel insurance and medical expenses.</w:t>
      </w:r>
    </w:p>
    <w:p>
      <w:pPr>
        <w:pStyle w:val="Heading1"/>
      </w:pPr>
      <w:r>
        <w:t>Booking policy</w:t>
      </w:r>
    </w:p>
    <w:p>
      <w:pPr>
        <w:pStyle w:val="ListBullet"/>
      </w:pPr>
      <w:r>
        <w:rPr>
          <w:rFonts w:ascii="Aptos" w:hAnsi="Aptos"/>
          <w:b w:val="0"/>
          <w:i w:val="0"/>
          <w:color w:val="172334"/>
          <w:sz w:val="20"/>
        </w:rPr>
        <w:t>A booking amount of ₹25,000 per person is required to reserve a seat.</w:t>
      </w:r>
    </w:p>
    <w:p>
      <w:pPr>
        <w:pStyle w:val="ListBullet"/>
      </w:pPr>
      <w:r>
        <w:rPr>
          <w:rFonts w:ascii="Aptos" w:hAnsi="Aptos"/>
          <w:b w:val="0"/>
          <w:i w:val="0"/>
          <w:color w:val="172334"/>
          <w:sz w:val="20"/>
        </w:rPr>
        <w:t>The booking is confirmed only after payment and written confirmation of the selected seat category.</w:t>
      </w:r>
    </w:p>
    <w:p>
      <w:pPr>
        <w:pStyle w:val="ListBullet"/>
      </w:pPr>
      <w:r>
        <w:rPr>
          <w:rFonts w:ascii="Aptos" w:hAnsi="Aptos"/>
          <w:b w:val="0"/>
          <w:i w:val="0"/>
          <w:color w:val="172334"/>
          <w:sz w:val="20"/>
        </w:rPr>
        <w:t>The balance payment is due 30 days before departure. Bookings made within 30 days require full payment.</w:t>
      </w:r>
    </w:p>
    <w:p>
      <w:pPr>
        <w:pStyle w:val="ListBullet"/>
      </w:pPr>
      <w:r>
        <w:rPr>
          <w:rFonts w:ascii="Aptos" w:hAnsi="Aptos"/>
          <w:b w:val="0"/>
          <w:i w:val="0"/>
          <w:color w:val="172334"/>
          <w:sz w:val="20"/>
        </w:rPr>
        <w:t>Window seats are limited and allotted only against confirmed payment. Seat numbers remain subject to the final aircraft configuration and operational allocation.</w:t>
      </w:r>
    </w:p>
    <w:p>
      <w:pPr>
        <w:pStyle w:val="ListBullet"/>
      </w:pPr>
      <w:r>
        <w:rPr>
          <w:rFonts w:ascii="Aptos" w:hAnsi="Aptos"/>
          <w:b w:val="0"/>
          <w:i w:val="0"/>
          <w:color w:val="172334"/>
          <w:sz w:val="20"/>
        </w:rPr>
        <w:t>Names must match the guest’s valid travel document. Any correction or substitution is subject to approval and applicable charges.</w:t>
      </w:r>
    </w:p>
    <w:p>
      <w:r>
        <w:br w:type="page"/>
      </w:r>
    </w:p>
    <w:p>
      <w:pPr>
        <w:pStyle w:val="Heading1"/>
      </w:pPr>
      <w:r>
        <w:t>Cancellation policy</w:t>
      </w:r>
    </w:p>
    <w:tbl>
      <w:tblPr>
        <w:tblStyle w:val="TableGrid"/>
        <w:tblW w:type="dxa" w:w="9360"/>
        <w:jc w:val="center"/>
        <w:tblLayout w:type="fixed"/>
        <w:tblLook w:firstColumn="1" w:firstRow="1" w:lastColumn="0" w:lastRow="0" w:noHBand="0" w:noVBand="1" w:val="04A0"/>
      </w:tblPr>
      <w:tblGrid>
        <w:gridCol w:w="4680"/>
        <w:gridCol w:w="4680"/>
      </w:tblGrid>
      <w:tr>
        <w:tc>
          <w:tcPr>
            <w:tcW w:type="dxa" w:w="4680"/>
            <w:tcMar>
              <w:top w:w="110" w:type="dxa"/>
              <w:start w:w="140" w:type="dxa"/>
              <w:bottom w:w="110" w:type="dxa"/>
              <w:end w:w="140" w:type="dxa"/>
            </w:tcMar>
            <w:vAlign w:val="center"/>
            <w:shd w:fill="071D36"/>
          </w:tcPr>
          <w:p>
            <w:r>
              <w:rPr>
                <w:rFonts w:ascii="Aptos" w:hAnsi="Aptos"/>
                <w:b/>
                <w:i w:val="0"/>
                <w:color w:val="FFFFFF"/>
                <w:sz w:val="19"/>
              </w:rPr>
              <w:t>Cancellation received</w:t>
            </w:r>
          </w:p>
        </w:tc>
        <w:tc>
          <w:tcPr>
            <w:tcW w:type="dxa" w:w="4680"/>
            <w:tcMar>
              <w:top w:w="110" w:type="dxa"/>
              <w:start w:w="140" w:type="dxa"/>
              <w:bottom w:w="110" w:type="dxa"/>
              <w:end w:w="140" w:type="dxa"/>
            </w:tcMar>
            <w:vAlign w:val="center"/>
            <w:shd w:fill="071D36"/>
          </w:tcPr>
          <w:p>
            <w:r>
              <w:rPr>
                <w:rFonts w:ascii="Aptos" w:hAnsi="Aptos"/>
                <w:b/>
                <w:i w:val="0"/>
                <w:color w:val="FFFFFF"/>
                <w:sz w:val="19"/>
              </w:rPr>
              <w:t>Cancellation charge</w:t>
            </w:r>
          </w:p>
        </w:tc>
      </w:tr>
      <w:tr>
        <w:tc>
          <w:tcPr>
            <w:tcW w:type="dxa" w:w="4680"/>
            <w:tcMar>
              <w:top w:w="110" w:type="dxa"/>
              <w:start w:w="140" w:type="dxa"/>
              <w:bottom w:w="110" w:type="dxa"/>
              <w:end w:w="140" w:type="dxa"/>
            </w:tcMar>
            <w:vAlign w:val="center"/>
            <w:shd w:fill="F5EAD5"/>
          </w:tcPr>
          <w:p>
            <w:r>
              <w:rPr>
                <w:rFonts w:ascii="Aptos" w:hAnsi="Aptos"/>
                <w:b w:val="0"/>
                <w:i w:val="0"/>
                <w:color w:val="071D36"/>
                <w:sz w:val="20"/>
              </w:rPr>
              <w:t>More than 45 days before departure</w:t>
            </w:r>
          </w:p>
        </w:tc>
        <w:tc>
          <w:tcPr>
            <w:tcW w:type="dxa" w:w="4680"/>
            <w:tcMar>
              <w:top w:w="110" w:type="dxa"/>
              <w:start w:w="140" w:type="dxa"/>
              <w:bottom w:w="110" w:type="dxa"/>
              <w:end w:w="140" w:type="dxa"/>
            </w:tcMar>
            <w:vAlign w:val="center"/>
            <w:shd w:fill="F5EAD5"/>
          </w:tcPr>
          <w:p>
            <w:r>
              <w:rPr>
                <w:rFonts w:ascii="Aptos" w:hAnsi="Aptos"/>
                <w:b/>
                <w:i w:val="0"/>
                <w:color w:val="071D36"/>
                <w:sz w:val="20"/>
              </w:rPr>
              <w:t>₹15,000 per person</w:t>
            </w:r>
          </w:p>
        </w:tc>
      </w:tr>
      <w:tr>
        <w:tc>
          <w:tcPr>
            <w:tcW w:type="dxa" w:w="4680"/>
            <w:tcMar>
              <w:top w:w="110" w:type="dxa"/>
              <w:start w:w="140" w:type="dxa"/>
              <w:bottom w:w="110" w:type="dxa"/>
              <w:end w:w="140" w:type="dxa"/>
            </w:tcMar>
            <w:vAlign w:val="center"/>
            <w:shd w:fill="F3F6F8"/>
          </w:tcPr>
          <w:p>
            <w:r>
              <w:rPr>
                <w:rFonts w:ascii="Aptos" w:hAnsi="Aptos"/>
                <w:b w:val="0"/>
                <w:i w:val="0"/>
                <w:color w:val="071D36"/>
                <w:sz w:val="20"/>
              </w:rPr>
              <w:t>31–45 days before departure</w:t>
            </w:r>
          </w:p>
        </w:tc>
        <w:tc>
          <w:tcPr>
            <w:tcW w:type="dxa" w:w="4680"/>
            <w:tcMar>
              <w:top w:w="110" w:type="dxa"/>
              <w:start w:w="140" w:type="dxa"/>
              <w:bottom w:w="110" w:type="dxa"/>
              <w:end w:w="140" w:type="dxa"/>
            </w:tcMar>
            <w:vAlign w:val="center"/>
            <w:shd w:fill="F3F6F8"/>
          </w:tcPr>
          <w:p>
            <w:r>
              <w:rPr>
                <w:rFonts w:ascii="Aptos" w:hAnsi="Aptos"/>
                <w:b/>
                <w:i w:val="0"/>
                <w:color w:val="071D36"/>
                <w:sz w:val="20"/>
              </w:rPr>
              <w:t>50% of the package price</w:t>
            </w:r>
          </w:p>
        </w:tc>
      </w:tr>
      <w:tr>
        <w:tc>
          <w:tcPr>
            <w:tcW w:type="dxa" w:w="4680"/>
            <w:tcMar>
              <w:top w:w="110" w:type="dxa"/>
              <w:start w:w="140" w:type="dxa"/>
              <w:bottom w:w="110" w:type="dxa"/>
              <w:end w:w="140" w:type="dxa"/>
            </w:tcMar>
            <w:vAlign w:val="center"/>
            <w:shd w:fill="F5EAD5"/>
          </w:tcPr>
          <w:p>
            <w:r>
              <w:rPr>
                <w:rFonts w:ascii="Aptos" w:hAnsi="Aptos"/>
                <w:b w:val="0"/>
                <w:i w:val="0"/>
                <w:color w:val="071D36"/>
                <w:sz w:val="20"/>
              </w:rPr>
              <w:t>15–30 days before departure</w:t>
            </w:r>
          </w:p>
        </w:tc>
        <w:tc>
          <w:tcPr>
            <w:tcW w:type="dxa" w:w="4680"/>
            <w:tcMar>
              <w:top w:w="110" w:type="dxa"/>
              <w:start w:w="140" w:type="dxa"/>
              <w:bottom w:w="110" w:type="dxa"/>
              <w:end w:w="140" w:type="dxa"/>
            </w:tcMar>
            <w:vAlign w:val="center"/>
            <w:shd w:fill="F5EAD5"/>
          </w:tcPr>
          <w:p>
            <w:r>
              <w:rPr>
                <w:rFonts w:ascii="Aptos" w:hAnsi="Aptos"/>
                <w:b/>
                <w:i w:val="0"/>
                <w:color w:val="071D36"/>
                <w:sz w:val="20"/>
              </w:rPr>
              <w:t>75% of the package price</w:t>
            </w:r>
          </w:p>
        </w:tc>
      </w:tr>
      <w:tr>
        <w:tc>
          <w:tcPr>
            <w:tcW w:type="dxa" w:w="4680"/>
            <w:tcMar>
              <w:top w:w="110" w:type="dxa"/>
              <w:start w:w="140" w:type="dxa"/>
              <w:bottom w:w="110" w:type="dxa"/>
              <w:end w:w="140" w:type="dxa"/>
            </w:tcMar>
            <w:vAlign w:val="center"/>
            <w:shd w:fill="F3F6F8"/>
          </w:tcPr>
          <w:p>
            <w:r>
              <w:rPr>
                <w:rFonts w:ascii="Aptos" w:hAnsi="Aptos"/>
                <w:b w:val="0"/>
                <w:i w:val="0"/>
                <w:color w:val="071D36"/>
                <w:sz w:val="20"/>
              </w:rPr>
              <w:t>14 days or less / no-show</w:t>
            </w:r>
          </w:p>
        </w:tc>
        <w:tc>
          <w:tcPr>
            <w:tcW w:type="dxa" w:w="4680"/>
            <w:tcMar>
              <w:top w:w="110" w:type="dxa"/>
              <w:start w:w="140" w:type="dxa"/>
              <w:bottom w:w="110" w:type="dxa"/>
              <w:end w:w="140" w:type="dxa"/>
            </w:tcMar>
            <w:vAlign w:val="center"/>
            <w:shd w:fill="F3F6F8"/>
          </w:tcPr>
          <w:p>
            <w:r>
              <w:rPr>
                <w:rFonts w:ascii="Aptos" w:hAnsi="Aptos"/>
                <w:b/>
                <w:i w:val="0"/>
                <w:color w:val="071D36"/>
                <w:sz w:val="20"/>
              </w:rPr>
              <w:t>100% of the package price</w:t>
            </w:r>
          </w:p>
        </w:tc>
      </w:tr>
    </w:tbl>
    <w:p>
      <w:pPr>
        <w:pStyle w:val="Heading1"/>
      </w:pPr>
      <w:r>
        <w:t>Flight non-operation and refund</w:t>
      </w:r>
    </w:p>
    <w:p>
      <w:pPr>
        <w:pStyle w:val="ListBullet"/>
      </w:pPr>
      <w:r>
        <w:rPr>
          <w:rFonts w:ascii="Aptos" w:hAnsi="Aptos"/>
          <w:b w:val="0"/>
          <w:i w:val="0"/>
          <w:color w:val="172334"/>
          <w:sz w:val="20"/>
        </w:rPr>
        <w:t>The Kailash aerial darshan flight is subject to weather, visibility, aircraft availability, air-traffic clearance and regulatory approvals.</w:t>
      </w:r>
    </w:p>
    <w:p>
      <w:pPr>
        <w:pStyle w:val="ListBullet"/>
      </w:pPr>
      <w:r>
        <w:rPr>
          <w:rFonts w:ascii="Aptos" w:hAnsi="Aptos"/>
          <w:b w:val="0"/>
          <w:i w:val="0"/>
          <w:color w:val="172334"/>
          <w:sz w:val="20"/>
        </w:rPr>
        <w:t>If the flight does not operate, ₹35,000 per person will be refunded for a window-seat booking and ₹25,000 per person for a non-window-seat booking.</w:t>
      </w:r>
    </w:p>
    <w:p>
      <w:pPr>
        <w:pStyle w:val="ListBullet"/>
      </w:pPr>
      <w:r>
        <w:rPr>
          <w:rFonts w:ascii="Aptos" w:hAnsi="Aptos"/>
          <w:b w:val="0"/>
          <w:i w:val="0"/>
          <w:color w:val="172334"/>
          <w:sz w:val="20"/>
        </w:rPr>
        <w:t>This fixed refund replaces the flight component only. No additional refund is payable for hotel stay, meals, transfers, puja, havan, gift hamper or other programme services used or committed.</w:t>
      </w:r>
    </w:p>
    <w:p>
      <w:pPr>
        <w:pStyle w:val="ListBullet"/>
      </w:pPr>
      <w:r>
        <w:rPr>
          <w:rFonts w:ascii="Aptos" w:hAnsi="Aptos"/>
          <w:b w:val="0"/>
          <w:i w:val="0"/>
          <w:color w:val="172334"/>
          <w:sz w:val="20"/>
        </w:rPr>
        <w:t>The above refund will be processed after confirmation from the charter operator and reconciliation of the group account.</w:t>
      </w:r>
    </w:p>
    <w:p>
      <w:pPr>
        <w:pStyle w:val="ListBullet"/>
      </w:pPr>
      <w:r>
        <w:rPr>
          <w:rFonts w:ascii="Aptos" w:hAnsi="Aptos"/>
          <w:b w:val="0"/>
          <w:i w:val="0"/>
          <w:color w:val="172334"/>
          <w:sz w:val="20"/>
        </w:rPr>
        <w:t>No refund is payable when a guest voluntarily declines to fly after the charter is cleared to operate.</w:t>
      </w:r>
    </w:p>
    <w:p>
      <w:pPr>
        <w:pStyle w:val="Heading1"/>
      </w:pPr>
      <w:r>
        <w:t>Travel requirements and important notes</w:t>
      </w:r>
    </w:p>
    <w:p>
      <w:pPr>
        <w:pStyle w:val="ListBullet"/>
      </w:pPr>
      <w:r>
        <w:rPr>
          <w:rFonts w:ascii="Aptos" w:hAnsi="Aptos"/>
          <w:b w:val="0"/>
          <w:i w:val="0"/>
          <w:color w:val="172334"/>
          <w:sz w:val="20"/>
        </w:rPr>
        <w:t>Aerial visibility cannot be guaranteed even when the flight operates.</w:t>
      </w:r>
    </w:p>
    <w:p>
      <w:pPr>
        <w:pStyle w:val="ListBullet"/>
      </w:pPr>
      <w:r>
        <w:rPr>
          <w:rFonts w:ascii="Aptos" w:hAnsi="Aptos"/>
          <w:b w:val="0"/>
          <w:i w:val="0"/>
          <w:color w:val="172334"/>
          <w:sz w:val="20"/>
        </w:rPr>
        <w:t>Timings may change due to weather, traffic, border formalities, temple schedules or operational instructions.</w:t>
      </w:r>
    </w:p>
    <w:p>
      <w:pPr>
        <w:pStyle w:val="ListBullet"/>
      </w:pPr>
      <w:r>
        <w:rPr>
          <w:rFonts w:ascii="Aptos" w:hAnsi="Aptos"/>
          <w:b w:val="0"/>
          <w:i w:val="0"/>
          <w:color w:val="172334"/>
          <w:sz w:val="20"/>
        </w:rPr>
        <w:t>The programme is not suitable for guests requiring continuous medical supervision. Please seek medical advice before booking if you have a serious health condition.</w:t>
      </w:r>
    </w:p>
    <w:p>
      <w:pPr>
        <w:pStyle w:val="ListBullet"/>
      </w:pPr>
      <w:r>
        <w:rPr>
          <w:rFonts w:ascii="Aptos" w:hAnsi="Aptos"/>
          <w:b w:val="0"/>
          <w:i w:val="0"/>
          <w:color w:val="172334"/>
          <w:sz w:val="20"/>
        </w:rPr>
        <w:t>The organiser may use an equivalent hotel or vehicle when operationally necessary without reducing the stated service category.</w:t>
      </w:r>
    </w:p>
    <w:p>
      <w:pPr>
        <w:spacing w:before="240" w:after="0"/>
        <w:jc w:val="center"/>
      </w:pPr>
      <w:r>
        <w:rPr>
          <w:rFonts w:ascii="Aptos" w:hAnsi="Aptos"/>
          <w:b/>
          <w:i w:val="0"/>
          <w:color w:val="C99743"/>
          <w:sz w:val="26"/>
        </w:rPr>
        <w:t>YOUR WINDOW TO KAILASH</w:t>
      </w:r>
    </w:p>
    <w:p>
      <w:pPr>
        <w:jc w:val="center"/>
      </w:pPr>
      <w:r>
        <w:rPr>
          <w:rFonts w:ascii="Aptos" w:hAnsi="Aptos"/>
          <w:b w:val="0"/>
          <w:i/>
          <w:color w:val="5F6B78"/>
          <w:sz w:val="21"/>
        </w:rPr>
        <w:t>A short journey. A memory beyond measure.</w:t>
      </w:r>
    </w:p>
    <w:sectPr w:rsidR="00FC693F" w:rsidRPr="0006063C" w:rsidSect="00034616">
      <w:headerReference w:type="default" r:id="rId9"/>
      <w:footerReference w:type="default" r:id="rId10"/>
      <w:pgSz w:w="12240" w:h="15840"/>
      <w:pgMar w:top="1037" w:right="1181" w:bottom="979" w:left="1181"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F6B78"/>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i w:val="0"/>
        <w:color w:val="C99743"/>
        <w:sz w:val="17"/>
      </w:rPr>
      <w:t>KAILASH DOOR DARSHAN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ptos" w:hAnsi="Aptos"/>
      <w:color w:val="17233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b/>
      <w:bCs/>
      <w:color w:val="071D36"/>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w:hAnsi="Aptos"/>
      <w:b/>
      <w:bCs/>
      <w:color w:val="0C2A4A"/>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w:hAnsi="Aptos"/>
      <w:b/>
      <w:bCs/>
      <w:color w:val="0C2A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Aptos Display" w:hAnsi="Aptos Display"/>
      <w:b/>
      <w:color w:val="071D36"/>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80"/>
    </w:pPr>
    <w:rPr>
      <w:rFonts w:asciiTheme="majorHAnsi" w:eastAsiaTheme="majorEastAsia" w:hAnsiTheme="majorHAnsi" w:cstheme="majorBidi" w:ascii="Aptos" w:hAnsi="Aptos"/>
      <w:b/>
      <w:i/>
      <w:iCs/>
      <w:color w:val="5F6B7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64" w:lineRule="auto"/>
      <w:ind w:left="461" w:hanging="230"/>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64" w:lineRule="auto"/>
      <w:ind w:left="461" w:hanging="230"/>
      <w:contextualSpacing/>
    </w:pPr>
    <w:rPr>
      <w:rFonts w:ascii="Aptos" w:hAnsi="Aptos"/>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Kailash Door Darshan – December 2026</dc:title>
  <dc:subject>3 Days / 2 Nights aerial darshan programme from Lucknow</dc:subject>
  <dc:creator>Himalayan Yatra Private Limited</dc:creator>
  <cp:keywords>Kailash, aerial darshan, Nepalgunj, Lucknow, December 2026</cp:keywords>
  <dc:description>generated by python-docx</dc:description>
  <cp:lastModifiedBy/>
  <cp:revision>1</cp:revision>
  <dcterms:created xsi:type="dcterms:W3CDTF">2013-12-23T23:15:00Z</dcterms:created>
  <dcterms:modified xsi:type="dcterms:W3CDTF">2013-12-23T23:15:00Z</dcterms:modified>
  <cp:category/>
</cp:coreProperties>
</file>